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654500" w:rsidRPr="00654500" w:rsidTr="00ED71E9">
        <w:trPr>
          <w:trHeight w:val="841"/>
        </w:trPr>
        <w:tc>
          <w:tcPr>
            <w:tcW w:w="9747" w:type="dxa"/>
            <w:vAlign w:val="center"/>
          </w:tcPr>
          <w:p w:rsidR="00654500" w:rsidRPr="00654500" w:rsidRDefault="00654500" w:rsidP="00654500">
            <w:pPr>
              <w:jc w:val="center"/>
              <w:rPr>
                <w:rFonts w:ascii="Calibri" w:eastAsia="Calibri" w:hAnsi="Calibri" w:cs="Times New Roman"/>
              </w:rPr>
            </w:pPr>
            <w:r w:rsidRPr="00654500">
              <w:rPr>
                <w:rFonts w:ascii="Britannic Bold" w:eastAsia="Calibri" w:hAnsi="Britannic Bold" w:cs="Times New Roman"/>
                <w:sz w:val="22"/>
              </w:rPr>
              <w:t>INSTITUCIÓN EDUCATIVA PRADITO</w:t>
            </w:r>
          </w:p>
        </w:tc>
        <w:tc>
          <w:tcPr>
            <w:tcW w:w="1134" w:type="dxa"/>
            <w:vAlign w:val="center"/>
          </w:tcPr>
          <w:p w:rsidR="00654500" w:rsidRPr="00654500" w:rsidRDefault="00654500" w:rsidP="00654500">
            <w:pPr>
              <w:jc w:val="center"/>
              <w:rPr>
                <w:rFonts w:ascii="Calibri" w:eastAsia="Calibri" w:hAnsi="Calibri" w:cs="Times New Roman"/>
              </w:rPr>
            </w:pPr>
            <w:r w:rsidRPr="00654500">
              <w:rPr>
                <w:rFonts w:ascii="Calibri" w:eastAsia="Calibri" w:hAnsi="Calibri" w:cs="Times New Roman"/>
                <w:noProof/>
                <w:lang w:eastAsia="es-CO"/>
              </w:rPr>
              <w:drawing>
                <wp:inline distT="0" distB="0" distL="0" distR="0" wp14:anchorId="65BA0525" wp14:editId="2C644FAF">
                  <wp:extent cx="421131" cy="4572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udo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3" cy="45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500" w:rsidRPr="00654500" w:rsidTr="00ED71E9">
        <w:trPr>
          <w:trHeight w:val="227"/>
        </w:trPr>
        <w:tc>
          <w:tcPr>
            <w:tcW w:w="10881" w:type="dxa"/>
            <w:gridSpan w:val="2"/>
            <w:vAlign w:val="center"/>
          </w:tcPr>
          <w:p w:rsidR="00654500" w:rsidRPr="00654500" w:rsidRDefault="00654500" w:rsidP="003F4118">
            <w:pPr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654500">
              <w:rPr>
                <w:rFonts w:asciiTheme="majorHAnsi" w:eastAsia="Calibri" w:hAnsiTheme="majorHAnsi" w:cs="Times New Roman"/>
                <w:sz w:val="20"/>
                <w:szCs w:val="20"/>
              </w:rPr>
              <w:t>CIENCIAS NATURALES Y EDUCACION AMBIENTAL</w:t>
            </w:r>
            <w:r w:rsidR="00AD7AD6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, Grado </w:t>
            </w:r>
            <w:r w:rsidR="003F4118">
              <w:rPr>
                <w:rFonts w:asciiTheme="majorHAnsi" w:eastAsia="Calibri" w:hAnsiTheme="majorHAnsi" w:cs="Times New Roman"/>
                <w:sz w:val="20"/>
                <w:szCs w:val="20"/>
              </w:rPr>
              <w:t>octavo</w:t>
            </w:r>
            <w:r w:rsidR="00AD7AD6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           </w:t>
            </w:r>
            <w:r w:rsidR="00AD7AD6" w:rsidRPr="00654500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DOCENTE: </w:t>
            </w:r>
            <w:r w:rsidR="00AD7AD6" w:rsidRPr="00654500">
              <w:rPr>
                <w:rFonts w:asciiTheme="majorHAnsi" w:eastAsia="Calibri" w:hAnsiTheme="majorHAnsi" w:cs="Times New Roman"/>
                <w:sz w:val="20"/>
                <w:szCs w:val="20"/>
              </w:rPr>
              <w:t>Norberto Montoya</w:t>
            </w:r>
          </w:p>
        </w:tc>
      </w:tr>
      <w:tr w:rsidR="00654500" w:rsidRPr="00654500" w:rsidTr="00ED71E9">
        <w:trPr>
          <w:trHeight w:val="227"/>
        </w:trPr>
        <w:tc>
          <w:tcPr>
            <w:tcW w:w="10881" w:type="dxa"/>
            <w:gridSpan w:val="2"/>
            <w:vAlign w:val="center"/>
          </w:tcPr>
          <w:p w:rsidR="00654500" w:rsidRPr="00654500" w:rsidRDefault="00AD7AD6" w:rsidP="002D55D2">
            <w:pPr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                   Alumno:                                                                                                               </w:t>
            </w:r>
            <w:r w:rsidR="005A01B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>Recuperación</w:t>
            </w:r>
            <w:r w:rsidR="002D55D2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1er periodo</w:t>
            </w:r>
            <w:r w:rsidR="000A72C9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______</w:t>
            </w:r>
          </w:p>
        </w:tc>
      </w:tr>
    </w:tbl>
    <w:p w:rsidR="009F147C" w:rsidRDefault="009F147C" w:rsidP="009D7961">
      <w:pPr>
        <w:autoSpaceDE w:val="0"/>
        <w:autoSpaceDN w:val="0"/>
        <w:adjustRightInd w:val="0"/>
        <w:rPr>
          <w:rFonts w:cs="MyriadPro-Light"/>
          <w:szCs w:val="18"/>
        </w:rPr>
        <w:sectPr w:rsidR="009F147C" w:rsidSect="00B15857">
          <w:pgSz w:w="12240" w:h="15840" w:code="1"/>
          <w:pgMar w:top="567" w:right="567" w:bottom="567" w:left="567" w:header="709" w:footer="709" w:gutter="0"/>
          <w:cols w:space="708"/>
          <w:docGrid w:linePitch="360"/>
        </w:sectPr>
      </w:pPr>
    </w:p>
    <w:p w:rsidR="00513026" w:rsidRDefault="00513026" w:rsidP="009D7961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B15857" w:rsidRDefault="00B15857" w:rsidP="009D7961">
      <w:pPr>
        <w:autoSpaceDE w:val="0"/>
        <w:autoSpaceDN w:val="0"/>
        <w:adjustRightInd w:val="0"/>
        <w:rPr>
          <w:rFonts w:cs="MyriadPro-Light"/>
          <w:b/>
          <w:sz w:val="24"/>
          <w:szCs w:val="24"/>
        </w:rPr>
        <w:sectPr w:rsidR="00B15857" w:rsidSect="00B15857">
          <w:type w:val="continuous"/>
          <w:pgSz w:w="12240" w:h="15840" w:code="1"/>
          <w:pgMar w:top="567" w:right="567" w:bottom="567" w:left="567" w:header="709" w:footer="709" w:gutter="0"/>
          <w:cols w:space="708"/>
          <w:docGrid w:linePitch="360"/>
        </w:sectPr>
      </w:pPr>
    </w:p>
    <w:p w:rsidR="00D661F8" w:rsidRDefault="005A01B9" w:rsidP="009D7961">
      <w:pPr>
        <w:autoSpaceDE w:val="0"/>
        <w:autoSpaceDN w:val="0"/>
        <w:adjustRightInd w:val="0"/>
        <w:rPr>
          <w:rFonts w:cs="MyriadPro-Light"/>
          <w:b/>
          <w:sz w:val="24"/>
          <w:szCs w:val="24"/>
        </w:rPr>
      </w:pPr>
      <w:r>
        <w:rPr>
          <w:rFonts w:cs="MyriadPro-Light"/>
          <w:b/>
          <w:sz w:val="24"/>
          <w:szCs w:val="24"/>
        </w:rPr>
        <w:lastRenderedPageBreak/>
        <w:t>Actividades</w:t>
      </w:r>
    </w:p>
    <w:p w:rsidR="005A01B9" w:rsidRPr="005A01B9" w:rsidRDefault="005A01B9" w:rsidP="00840F68">
      <w:pPr>
        <w:pStyle w:val="Ttulo1"/>
        <w:numPr>
          <w:ilvl w:val="0"/>
          <w:numId w:val="25"/>
        </w:numPr>
      </w:pPr>
      <w:r w:rsidRPr="005A01B9">
        <w:t>Construcción de factores de conversión</w:t>
      </w:r>
    </w:p>
    <w:p w:rsidR="005A01B9" w:rsidRPr="005A01B9" w:rsidRDefault="005A01B9" w:rsidP="009D7961">
      <w:pPr>
        <w:autoSpaceDE w:val="0"/>
        <w:autoSpaceDN w:val="0"/>
        <w:adjustRightInd w:val="0"/>
        <w:rPr>
          <w:rFonts w:cs="MyriadPro-Light"/>
          <w:b/>
          <w:szCs w:val="18"/>
        </w:rPr>
      </w:pPr>
      <w:r w:rsidRPr="005A01B9">
        <w:rPr>
          <w:rFonts w:cs="MyriadPro-Light"/>
          <w:b/>
          <w:szCs w:val="18"/>
        </w:rPr>
        <w:t>Crea un glosario con los siguientes términos:</w:t>
      </w:r>
    </w:p>
    <w:p w:rsidR="005A01B9" w:rsidRPr="005A01B9" w:rsidRDefault="005A01B9" w:rsidP="009D7961">
      <w:pPr>
        <w:autoSpaceDE w:val="0"/>
        <w:autoSpaceDN w:val="0"/>
        <w:adjustRightInd w:val="0"/>
        <w:rPr>
          <w:rFonts w:cs="MyriadPro-Light"/>
          <w:szCs w:val="18"/>
        </w:rPr>
      </w:pPr>
      <w:r w:rsidRPr="005A01B9">
        <w:rPr>
          <w:rFonts w:cs="MyriadPro-Light"/>
          <w:szCs w:val="18"/>
        </w:rPr>
        <w:t xml:space="preserve">Mol, número de Avogadro, peso atómico, número atómico, factor de conversión, volumen de </w:t>
      </w:r>
      <w:proofErr w:type="gramStart"/>
      <w:r w:rsidRPr="005A01B9">
        <w:rPr>
          <w:rFonts w:cs="MyriadPro-Light"/>
          <w:szCs w:val="18"/>
        </w:rPr>
        <w:t>una</w:t>
      </w:r>
      <w:proofErr w:type="gramEnd"/>
      <w:r w:rsidRPr="005A01B9">
        <w:rPr>
          <w:rFonts w:cs="MyriadPro-Light"/>
          <w:szCs w:val="18"/>
        </w:rPr>
        <w:t xml:space="preserve"> mol de gas, porcentaje en peso, porcentaje en mol.</w:t>
      </w:r>
    </w:p>
    <w:p w:rsidR="00D661F8" w:rsidRPr="005A01B9" w:rsidRDefault="005A01B9" w:rsidP="00840F68">
      <w:pPr>
        <w:pStyle w:val="Ttulo1"/>
        <w:numPr>
          <w:ilvl w:val="0"/>
          <w:numId w:val="25"/>
        </w:numPr>
      </w:pPr>
      <w:r w:rsidRPr="005A01B9">
        <w:t>Construcción de factores de conversión</w:t>
      </w:r>
    </w:p>
    <w:p w:rsidR="00B15857" w:rsidRDefault="002D55D2" w:rsidP="009D7961">
      <w:pPr>
        <w:autoSpaceDE w:val="0"/>
        <w:autoSpaceDN w:val="0"/>
        <w:adjustRightInd w:val="0"/>
        <w:rPr>
          <w:rFonts w:cs="MyriadPro-Light"/>
          <w:szCs w:val="18"/>
        </w:rPr>
      </w:pPr>
      <w:r>
        <w:rPr>
          <w:rFonts w:cs="MyriadPro-Light"/>
          <w:szCs w:val="18"/>
        </w:rPr>
        <w:t xml:space="preserve">Selecciona el número atómico correspondiente a tu </w:t>
      </w:r>
      <w:r w:rsidR="00F857F6">
        <w:rPr>
          <w:rFonts w:cs="MyriadPro-Light"/>
          <w:szCs w:val="18"/>
        </w:rPr>
        <w:t>número</w:t>
      </w:r>
      <w:r>
        <w:rPr>
          <w:rFonts w:cs="MyriadPro-Light"/>
          <w:szCs w:val="18"/>
        </w:rPr>
        <w:t xml:space="preserve"> de lista. </w:t>
      </w:r>
      <w:r w:rsidR="00F857F6">
        <w:rPr>
          <w:rFonts w:cs="MyriadPro-Light"/>
          <w:szCs w:val="18"/>
        </w:rPr>
        <w:t xml:space="preserve">Realiza por lo menos </w:t>
      </w:r>
      <w:r w:rsidR="004F3646">
        <w:rPr>
          <w:rFonts w:cs="MyriadPro-Light"/>
          <w:szCs w:val="18"/>
        </w:rPr>
        <w:t>20</w:t>
      </w:r>
      <w:r w:rsidR="00F857F6">
        <w:rPr>
          <w:rFonts w:cs="MyriadPro-Light"/>
          <w:szCs w:val="18"/>
        </w:rPr>
        <w:t xml:space="preserve"> factores de conversión usando los </w:t>
      </w:r>
      <w:r w:rsidR="004F3646">
        <w:rPr>
          <w:rFonts w:cs="MyriadPro-Light"/>
          <w:szCs w:val="18"/>
        </w:rPr>
        <w:t>5</w:t>
      </w:r>
      <w:r>
        <w:rPr>
          <w:rFonts w:cs="MyriadPro-Light"/>
          <w:szCs w:val="18"/>
        </w:rPr>
        <w:t xml:space="preserve"> siguientes átomos</w:t>
      </w:r>
      <w:r w:rsidR="00F857F6">
        <w:rPr>
          <w:rFonts w:cs="MyriadPro-Light"/>
          <w:szCs w:val="18"/>
        </w:rPr>
        <w:t xml:space="preserve">. Para los factores de conversión. A manera de ejemplo puedes partir de equivalencias como </w:t>
      </w:r>
      <w:r>
        <w:rPr>
          <w:rFonts w:cs="MyriadPro-Light"/>
          <w:szCs w:val="18"/>
        </w:rPr>
        <w:t>1mol Ne=20,2 g de Ne; 20,2 g Ne=22,4 l de Ne; 1mol Ne = 6,022x10</w:t>
      </w:r>
      <w:r w:rsidRPr="002D55D2">
        <w:rPr>
          <w:rFonts w:cs="MyriadPro-Light"/>
          <w:szCs w:val="18"/>
          <w:vertAlign w:val="superscript"/>
        </w:rPr>
        <w:t>23</w:t>
      </w:r>
      <w:r>
        <w:rPr>
          <w:rFonts w:cs="MyriadPro-Light"/>
          <w:szCs w:val="18"/>
        </w:rPr>
        <w:t xml:space="preserve"> átomos de Ne</w:t>
      </w:r>
      <w:r w:rsidR="00F857F6">
        <w:rPr>
          <w:rFonts w:cs="MyriadPro-Light"/>
          <w:szCs w:val="18"/>
        </w:rPr>
        <w:t>. Con lo anterior crear factores como:</w:t>
      </w:r>
    </w:p>
    <w:p w:rsidR="00F857F6" w:rsidRDefault="00F857F6" w:rsidP="009D7961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F857F6" w:rsidRPr="00F857F6" w:rsidRDefault="00F857F6" w:rsidP="009D7961">
      <w:pPr>
        <w:autoSpaceDE w:val="0"/>
        <w:autoSpaceDN w:val="0"/>
        <w:adjustRightInd w:val="0"/>
        <w:rPr>
          <w:rFonts w:eastAsiaTheme="minorEastAsia" w:cs="MyriadPro-Light"/>
          <w:szCs w:val="18"/>
        </w:rPr>
      </w:pPr>
      <m:oMathPara>
        <m:oMath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1mol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20,2 g Ne</m:t>
              </m:r>
            </m:den>
          </m:f>
          <m:r>
            <w:rPr>
              <w:rFonts w:ascii="Cambria Math" w:hAnsi="Cambria Math" w:cs="MyriadPro-Light"/>
              <w:szCs w:val="18"/>
            </w:rPr>
            <m:t xml:space="preserve">; </m:t>
          </m:r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20,2 g Ne</m:t>
              </m:r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1mol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1mol Ne</m:t>
              </m:r>
            </m:den>
          </m:f>
        </m:oMath>
      </m:oMathPara>
    </w:p>
    <w:p w:rsidR="00F857F6" w:rsidRPr="00F857F6" w:rsidRDefault="00F857F6" w:rsidP="009D7961">
      <w:pPr>
        <w:autoSpaceDE w:val="0"/>
        <w:autoSpaceDN w:val="0"/>
        <w:adjustRightInd w:val="0"/>
        <w:rPr>
          <w:rFonts w:eastAsiaTheme="minorEastAsia" w:cs="MyriadPro-Light"/>
          <w:szCs w:val="18"/>
        </w:rPr>
      </w:pPr>
    </w:p>
    <w:p w:rsidR="00F857F6" w:rsidRDefault="00F857F6" w:rsidP="00F857F6">
      <w:pPr>
        <w:autoSpaceDE w:val="0"/>
        <w:autoSpaceDN w:val="0"/>
        <w:adjustRightInd w:val="0"/>
        <w:rPr>
          <w:rFonts w:cs="MyriadPro-Light"/>
          <w:szCs w:val="18"/>
        </w:rPr>
      </w:pPr>
      <m:oMathPara>
        <m:oMath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</m:t>
              </m:r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20,2 g Ne</m:t>
              </m:r>
            </m:den>
          </m:f>
          <m:r>
            <w:rPr>
              <w:rFonts w:ascii="Cambria Math" w:hAnsi="Cambria Math" w:cs="MyriadPro-Light"/>
              <w:szCs w:val="18"/>
            </w:rPr>
            <m:t xml:space="preserve">; </m:t>
          </m:r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20,2 g Ne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den>
          </m:f>
        </m:oMath>
      </m:oMathPara>
    </w:p>
    <w:p w:rsidR="00F857F6" w:rsidRDefault="00F857F6" w:rsidP="009D7961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F857F6" w:rsidRDefault="00F857F6" w:rsidP="00F857F6">
      <w:pPr>
        <w:autoSpaceDE w:val="0"/>
        <w:autoSpaceDN w:val="0"/>
        <w:adjustRightInd w:val="0"/>
        <w:rPr>
          <w:rFonts w:cs="MyriadPro-Light"/>
          <w:szCs w:val="18"/>
        </w:rPr>
      </w:pPr>
      <m:oMathPara>
        <m:oMath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22,4 L </m:t>
              </m:r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Ne</m:t>
              </m:r>
            </m:den>
          </m:f>
          <m:r>
            <w:rPr>
              <w:rFonts w:ascii="Cambria Math" w:hAnsi="Cambria Math" w:cs="MyriadPro-Light"/>
              <w:szCs w:val="18"/>
            </w:rPr>
            <m:t xml:space="preserve">; </m:t>
          </m:r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22,4 L Ne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den>
          </m:f>
        </m:oMath>
      </m:oMathPara>
    </w:p>
    <w:p w:rsidR="00B15857" w:rsidRDefault="00B15857" w:rsidP="00B15857">
      <w:pPr>
        <w:jc w:val="center"/>
      </w:pPr>
    </w:p>
    <w:p w:rsidR="005A01B9" w:rsidRDefault="00F857F6" w:rsidP="00B15857">
      <w:bookmarkStart w:id="0" w:name="_GoBack"/>
      <w:r>
        <w:t xml:space="preserve">Los anteriores </w:t>
      </w:r>
      <w:r w:rsidR="005A01B9">
        <w:t>s</w:t>
      </w:r>
      <w:r>
        <w:t>on seis factores de conversión que se pueden construir a partir del número atómico incluido en la tabla periódica y de los conceptos vistos en la clase</w:t>
      </w:r>
      <w:r w:rsidR="005A01B9">
        <w:t xml:space="preserve"> como mol, volumen de una mol  de gas y número de partículas en </w:t>
      </w:r>
      <w:proofErr w:type="gramStart"/>
      <w:r w:rsidR="005A01B9">
        <w:t>una</w:t>
      </w:r>
      <w:proofErr w:type="gramEnd"/>
      <w:r w:rsidR="005A01B9">
        <w:t xml:space="preserve"> mol.</w:t>
      </w:r>
    </w:p>
    <w:p w:rsidR="00840F68" w:rsidRDefault="00840F68" w:rsidP="00840F68">
      <w:pPr>
        <w:pStyle w:val="Ttulo1"/>
        <w:numPr>
          <w:ilvl w:val="0"/>
          <w:numId w:val="25"/>
        </w:numPr>
      </w:pPr>
      <w:r>
        <w:t xml:space="preserve">Uso </w:t>
      </w:r>
      <w:r w:rsidRPr="005A01B9">
        <w:t>de factores de conversión</w:t>
      </w:r>
    </w:p>
    <w:p w:rsidR="00840F68" w:rsidRDefault="00840F68" w:rsidP="00840F68">
      <w:r>
        <w:t xml:space="preserve">Realiza el procedimiento para los </w:t>
      </w:r>
      <w:r w:rsidR="004F3646">
        <w:t>7</w:t>
      </w:r>
      <w:r>
        <w:t xml:space="preserve"> átomos que te corresponden según tu número de lista y realiza las conversiones indicadas.</w:t>
      </w:r>
    </w:p>
    <w:p w:rsidR="00840F68" w:rsidRPr="00840F68" w:rsidRDefault="00840F68" w:rsidP="00840F68">
      <w:pPr>
        <w:rPr>
          <w:b/>
        </w:rPr>
      </w:pPr>
      <w:r w:rsidRPr="00840F68">
        <w:rPr>
          <w:b/>
        </w:rPr>
        <w:t>Convertir de gramos a moles</w:t>
      </w:r>
    </w:p>
    <w:p w:rsidR="00840F68" w:rsidRPr="00840F68" w:rsidRDefault="00840F68" w:rsidP="00840F68">
      <w:r>
        <w:t>Usa 1,5 gramo de cada uno de los átomos seleccionados y conviértelos a moles</w:t>
      </w:r>
    </w:p>
    <w:p w:rsidR="00840F68" w:rsidRPr="00840F68" w:rsidRDefault="00840F68" w:rsidP="00840F68">
      <w:r>
        <w:t>Usa 1</w:t>
      </w:r>
      <w:r>
        <w:t>116</w:t>
      </w:r>
      <w:r>
        <w:t xml:space="preserve"> gramo</w:t>
      </w:r>
      <w:r>
        <w:t>s</w:t>
      </w:r>
      <w:r>
        <w:t xml:space="preserve"> de cada uno de los átomos seleccionados y conviértelos a moles</w:t>
      </w:r>
    </w:p>
    <w:p w:rsidR="00840F68" w:rsidRPr="00840F68" w:rsidRDefault="00840F68" w:rsidP="00840F68">
      <w:pPr>
        <w:rPr>
          <w:b/>
        </w:rPr>
      </w:pPr>
      <w:r w:rsidRPr="00840F68">
        <w:rPr>
          <w:b/>
        </w:rPr>
        <w:t xml:space="preserve">Convertir de </w:t>
      </w:r>
      <w:r w:rsidRPr="00840F68">
        <w:rPr>
          <w:b/>
        </w:rPr>
        <w:t>moles a gramos</w:t>
      </w:r>
    </w:p>
    <w:p w:rsidR="00840F68" w:rsidRPr="00840F68" w:rsidRDefault="00840F68" w:rsidP="00840F68">
      <w:r>
        <w:t>Usa 1</w:t>
      </w:r>
      <w:r>
        <w:t>,5</w:t>
      </w:r>
      <w:r>
        <w:t xml:space="preserve"> mole</w:t>
      </w:r>
      <w:r>
        <w:t xml:space="preserve"> </w:t>
      </w:r>
      <w:r>
        <w:t>de cada uno de los átomos seleccionados y conviértelos a gramo</w:t>
      </w:r>
      <w:r>
        <w:t>s.</w:t>
      </w:r>
    </w:p>
    <w:p w:rsidR="005A01B9" w:rsidRDefault="00840F68" w:rsidP="00840F68">
      <w:r>
        <w:t>Usa 1116 mole de cada uno de los átomos seleccionados y conviértelos a gramos.</w:t>
      </w:r>
    </w:p>
    <w:p w:rsidR="00840F68" w:rsidRPr="00840F68" w:rsidRDefault="00840F68" w:rsidP="00840F68">
      <w:pPr>
        <w:rPr>
          <w:b/>
        </w:rPr>
      </w:pPr>
      <w:r w:rsidRPr="00840F68">
        <w:rPr>
          <w:b/>
        </w:rPr>
        <w:t xml:space="preserve">Convertir de moles a </w:t>
      </w:r>
      <w:r>
        <w:rPr>
          <w:b/>
        </w:rPr>
        <w:t>número de átomos</w:t>
      </w:r>
    </w:p>
    <w:p w:rsidR="00840F68" w:rsidRPr="00840F68" w:rsidRDefault="00840F68" w:rsidP="00840F68">
      <w:r>
        <w:t xml:space="preserve">Usa 1,5 mole de cada uno de los átomos seleccionados y conviértelos a </w:t>
      </w:r>
      <w:r>
        <w:t>número de átomos</w:t>
      </w:r>
    </w:p>
    <w:p w:rsidR="00840F68" w:rsidRDefault="00840F68" w:rsidP="00840F68">
      <w:r>
        <w:t>Usa 1116 mole de cada uno de los átomos seleccionados y conviértelos a número de átomos</w:t>
      </w:r>
    </w:p>
    <w:bookmarkEnd w:id="0"/>
    <w:p w:rsidR="00840F68" w:rsidRDefault="00840F68" w:rsidP="00840F68">
      <w:pPr>
        <w:pStyle w:val="Ttulo1"/>
        <w:numPr>
          <w:ilvl w:val="0"/>
          <w:numId w:val="25"/>
        </w:numPr>
      </w:pPr>
      <w:r>
        <w:t>Determinar el porcentaje en mol y en peso de un compuesto</w:t>
      </w:r>
    </w:p>
    <w:p w:rsidR="00840F68" w:rsidRDefault="00C47351" w:rsidP="00840F68">
      <w:r>
        <w:t>Realiza los porcentajes en mol y en peso para  los siguientes compuestos:</w:t>
      </w:r>
    </w:p>
    <w:p w:rsidR="00C47351" w:rsidRDefault="00C47351" w:rsidP="00840F68">
      <w:r>
        <w:t>H2O</w:t>
      </w:r>
    </w:p>
    <w:p w:rsidR="00C47351" w:rsidRDefault="00C47351" w:rsidP="00840F68">
      <w:r>
        <w:t>HCl</w:t>
      </w:r>
    </w:p>
    <w:p w:rsidR="00C47351" w:rsidRDefault="00C47351" w:rsidP="00840F68">
      <w:proofErr w:type="spellStart"/>
      <w:r>
        <w:t>NaOH</w:t>
      </w:r>
      <w:proofErr w:type="spellEnd"/>
    </w:p>
    <w:p w:rsidR="00C47351" w:rsidRDefault="00C47351" w:rsidP="00840F68">
      <w:proofErr w:type="spellStart"/>
      <w:r>
        <w:t>NACl</w:t>
      </w:r>
      <w:proofErr w:type="spellEnd"/>
    </w:p>
    <w:p w:rsidR="00C47351" w:rsidRDefault="00C47351" w:rsidP="00840F68">
      <w:r>
        <w:t>KOH</w:t>
      </w:r>
    </w:p>
    <w:p w:rsidR="00C47351" w:rsidRDefault="00C47351" w:rsidP="00840F68">
      <w:proofErr w:type="spellStart"/>
      <w:r>
        <w:t>HBr</w:t>
      </w:r>
      <w:proofErr w:type="spellEnd"/>
    </w:p>
    <w:p w:rsidR="00C47351" w:rsidRDefault="00C47351" w:rsidP="00840F68">
      <w:r>
        <w:t>HNO3</w:t>
      </w:r>
    </w:p>
    <w:p w:rsidR="00C47351" w:rsidRDefault="00C47351" w:rsidP="00840F68">
      <w:r>
        <w:t>H2SO4</w:t>
      </w:r>
    </w:p>
    <w:p w:rsidR="00C47351" w:rsidRDefault="00C47351" w:rsidP="00840F68">
      <w:r>
        <w:t>H3PO4</w:t>
      </w:r>
    </w:p>
    <w:p w:rsidR="00C47351" w:rsidRDefault="00C47351" w:rsidP="00C47351">
      <w:pPr>
        <w:pStyle w:val="Ttulo1"/>
        <w:numPr>
          <w:ilvl w:val="0"/>
          <w:numId w:val="25"/>
        </w:numPr>
      </w:pPr>
      <w:r>
        <w:t>Construcción de una gráfica a partir de datos experimentales</w:t>
      </w:r>
    </w:p>
    <w:p w:rsidR="005E53D7" w:rsidRDefault="00C47351" w:rsidP="00C47351">
      <w:r>
        <w:t>Los siguientes datos fueron obtenidos a partir del vaciado de un tanque cuadrado.</w:t>
      </w:r>
    </w:p>
    <w:p w:rsidR="005E53D7" w:rsidRDefault="005E53D7" w:rsidP="00C47351">
      <w:r>
        <w:rPr>
          <w:noProof/>
          <w:lang w:eastAsia="es-CO"/>
        </w:rPr>
        <w:lastRenderedPageBreak/>
        <w:drawing>
          <wp:inline distT="0" distB="0" distL="0" distR="0" wp14:anchorId="4CDA4F83">
            <wp:extent cx="1552755" cy="14730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52" cy="147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53D7" w:rsidRDefault="005E53D7" w:rsidP="00C47351"/>
    <w:p w:rsidR="005E53D7" w:rsidRDefault="005E53D7" w:rsidP="00C47351">
      <w:r>
        <w:t xml:space="preserve">El tanque tiene una base de </w:t>
      </w:r>
      <w:r w:rsidR="00D26803">
        <w:t>80 centímetros</w:t>
      </w:r>
      <w:r>
        <w:t xml:space="preserve"> por </w:t>
      </w:r>
      <w:r w:rsidR="00D26803">
        <w:t>9</w:t>
      </w:r>
      <w:r w:rsidR="00D26803">
        <w:t xml:space="preserve">0 </w:t>
      </w:r>
      <w:r w:rsidR="00D26803">
        <w:t>centímetros</w:t>
      </w:r>
      <w:r w:rsidR="00D26803">
        <w:t xml:space="preserve"> </w:t>
      </w:r>
      <w:r>
        <w:t xml:space="preserve">y la altura </w:t>
      </w:r>
      <w:r w:rsidR="00D26803">
        <w:t>varía</w:t>
      </w:r>
      <w:r>
        <w:t xml:space="preserve"> de acuerdo al tiempo de vaciado</w:t>
      </w:r>
    </w:p>
    <w:p w:rsidR="005E53D7" w:rsidRDefault="005E53D7" w:rsidP="00C47351"/>
    <w:p w:rsidR="00C47351" w:rsidRDefault="00C47351" w:rsidP="00C47351">
      <w:r>
        <w:t>Construir una gráfica de volumen desalojado contra tiempo. Nota, el procedimiento es similar al utilizado para la combustión la vela.</w:t>
      </w:r>
    </w:p>
    <w:p w:rsidR="005E53D7" w:rsidRDefault="005E53D7" w:rsidP="00C47351"/>
    <w:p w:rsidR="00D26803" w:rsidRDefault="00D26803" w:rsidP="00C47351">
      <w:r>
        <w:t>Presentar la gráfica en papel milimetrado con la pendiente, el intercepto y la ecuación correspondiente</w:t>
      </w:r>
    </w:p>
    <w:tbl>
      <w:tblPr>
        <w:tblW w:w="3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</w:tblGrid>
      <w:tr w:rsidR="00190C12" w:rsidRPr="00190C12" w:rsidTr="00190C12">
        <w:trPr>
          <w:trHeight w:val="5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12" w:rsidRPr="00190C12" w:rsidRDefault="00190C12" w:rsidP="00190C12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Altura del líquido, centímetros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12" w:rsidRPr="00190C12" w:rsidRDefault="00190C12" w:rsidP="00190C12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Tiempo, segundos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190C12" w:rsidRPr="00190C12" w:rsidTr="00190C12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C12" w:rsidRPr="00190C12" w:rsidRDefault="00190C12" w:rsidP="00190C1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</w:tbl>
    <w:p w:rsidR="00B15857" w:rsidRDefault="00B15857" w:rsidP="00B15857"/>
    <w:p w:rsidR="008C5F6B" w:rsidRDefault="008C5F6B" w:rsidP="00190C12">
      <w:pPr>
        <w:pStyle w:val="Ttulo1"/>
        <w:numPr>
          <w:ilvl w:val="0"/>
          <w:numId w:val="25"/>
        </w:numPr>
      </w:pPr>
      <w:r>
        <w:t>Realizar los siguientes mapas mentales</w:t>
      </w:r>
    </w:p>
    <w:p w:rsidR="008C5F6B" w:rsidRPr="008C5F6B" w:rsidRDefault="008C5F6B" w:rsidP="008C5F6B">
      <w:r>
        <w:t>La actividad se evalúa a través de preguntas o por medio de argumentación de los mismos</w:t>
      </w:r>
    </w:p>
    <w:p w:rsid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>
        <w:rPr>
          <w:rFonts w:ascii="CenturySchoolbookBT-Bold" w:hAnsi="CenturySchoolbookBT-Bold" w:cs="CenturySchoolbookBT-Bold"/>
          <w:b/>
          <w:bCs/>
          <w:sz w:val="22"/>
        </w:rPr>
        <w:t>Frío y dolor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Las compresas frías o la aplicación de otras sustancias que suministran una sensación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 frío en la piel alivian el dolor crónico. Esto es un principio de la sabiduría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popular. Sin embargo, nunca se habían estudiado sus razones.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En la piel se encuentran terminaciones nerviosas que tienen receptores sensibles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a los cambios de temperatura, así como algunas sustancias que generan una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lastRenderedPageBreak/>
        <w:t>percepción semejante. Por ejemplo, el chile sobre la piel provoca un efecto de calor,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mientras que el mentol emite una sensación de frío.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Un grupo de científicos han estudiado la relación que existe entre estos receptores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y el dolor. Para ello se les indujo a unas ratas un dolor crónico y se les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amarró un cordón en su muslo.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A un grupo de ratas se les aplicó una solución con la sustancia que da sensación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 frío en la piel en el sitio sobre el que se les colocó el cordón. A otro grupo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también se le aplicó la solución, sólo que en otra área. Las que tuvieron el cordón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sobre la piel con solución fueron menos susceptibles al dolor.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Los investigadores creen que al activar los receptores sensibles al frío se envía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una señal a lo largo de los nervios hasta las terminales en la médula espinal, lo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que impide que otros nervios transmitan la percepción de dolor a través de dichas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terminales. Al parecer, un mecanismo semejante ocurre al activar los receptores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sensibles al calor.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Los tratamientos con calor o frío, o la aplicación de cremas que contengan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sustancias que provoquen estas sensaciones, pueden ser útiles para atenuar el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dolor crónico, como el de la artritis o las neuropatías en las cuales los nervios se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han dañado por enfermedad o alguna lesión. Esto podría ayudar a disminuir la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administración de analgésicos con efectos secundarios indeseables.</w:t>
      </w:r>
    </w:p>
    <w:p w:rsidR="001E2A5D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Sin embargo, este tratamiento no es efectivo cuando se trata de dolores agudos,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ya que éstos se transmiten a través de otro tipo de receptores.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ascii="CenturySchoolbookBT-Bold" w:hAnsi="CenturySchoolbookBT-Bold" w:cs="CenturySchoolbookBT-Bold"/>
          <w:b/>
          <w:bCs/>
          <w:sz w:val="22"/>
        </w:rPr>
      </w:pPr>
      <w:r w:rsidRPr="008C5F6B">
        <w:rPr>
          <w:rFonts w:ascii="CenturySchoolbookBT-Bold" w:hAnsi="CenturySchoolbookBT-Bold" w:cs="CenturySchoolbookBT-Bold"/>
          <w:b/>
          <w:bCs/>
          <w:sz w:val="22"/>
        </w:rPr>
        <w:t>Flavonoides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¡Coma frutas y verduras! Ésa es la frase que se añade a todos los anuncios de comida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chatarra y a la que, de tanto oírla, ya nadie le presta atención. Sin embargo,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es indudablemente cierta. Las frutas y verduras tiene un brillante colorido y esos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colores juegan un papel trascendente en nuestra alimentación.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Los pigmentos que le confieren el color amarillo a la zanahoria, naranja y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papaya, el rojo al jitomate, la granada y la sandía, el morado al betabel, y el azul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y morado a algunos tipos de maíz y la zarzamora forman parte de un grupo de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sustancias llamadas flavonoides.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Existen diferentes tipos. Los amarillos son los carotenoides; el licopeno es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el que le da el color rojo al jitomate y las antocianinas son los pigmentos azules y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morados del maíz y diversos tipos de moras.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Todas estas sustancias tienen en común la propiedad de ser “antioxidantes”;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es decir, neutralizan a una gran diversidad de productos secundarios de desecho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del metabolismo celular, los denominados radicales libres. Los procesos degenerativos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 células y tejidos, y el envejecimiento en sí mismo, se atribuyen al efecto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destructor de estos radicales.</w:t>
      </w:r>
    </w:p>
    <w:p w:rsid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Investigadores de diferentes partes del mundo se han enfocado en el estudio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 la acción específica de los flavonoides en el organismo y han obtenido resultados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sorprendentes. Entre ellos se encuentra la disminución tanto de la presión arterial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en pacientes hipertensos como del grosor de las paredes de la arteria carótida y la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acumulación de sustancias depositadas en ella, que la obstruyen.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ascii="CenturySchoolbookBT-Bold" w:hAnsi="CenturySchoolbookBT-Bold" w:cs="CenturySchoolbookBT-Bold"/>
          <w:b/>
          <w:bCs/>
          <w:sz w:val="22"/>
        </w:rPr>
      </w:pPr>
      <w:r w:rsidRPr="008C5F6B">
        <w:rPr>
          <w:rFonts w:ascii="CenturySchoolbookBT-Bold" w:hAnsi="CenturySchoolbookBT-Bold" w:cs="CenturySchoolbookBT-Bold"/>
          <w:b/>
          <w:bCs/>
          <w:sz w:val="22"/>
        </w:rPr>
        <w:t>Medio ambiente y genes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Lo que hace que no todos seamos iguales son las pequeñas diferencias que existen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 xml:space="preserve">entre el </w:t>
      </w:r>
      <w:proofErr w:type="spellStart"/>
      <w:r w:rsidRPr="008C5F6B">
        <w:rPr>
          <w:rFonts w:cs="MyriadPro-Light"/>
          <w:szCs w:val="18"/>
        </w:rPr>
        <w:t>adn</w:t>
      </w:r>
      <w:proofErr w:type="spellEnd"/>
      <w:r w:rsidRPr="008C5F6B">
        <w:rPr>
          <w:rFonts w:cs="MyriadPro-Light"/>
          <w:szCs w:val="18"/>
        </w:rPr>
        <w:t xml:space="preserve"> de los cromosomas de cada uno de nosotros. No existen dos personas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 xml:space="preserve">que tengan el mismo </w:t>
      </w:r>
      <w:proofErr w:type="spellStart"/>
      <w:r w:rsidRPr="008C5F6B">
        <w:rPr>
          <w:rFonts w:cs="MyriadPro-Light"/>
          <w:szCs w:val="18"/>
        </w:rPr>
        <w:t>adn</w:t>
      </w:r>
      <w:proofErr w:type="spellEnd"/>
      <w:r w:rsidRPr="008C5F6B">
        <w:rPr>
          <w:rFonts w:cs="MyriadPro-Light"/>
          <w:szCs w:val="18"/>
        </w:rPr>
        <w:t>, a menos que se trate de gemelos idénticos.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Un grupo de genetistas estudió a 74 gemelos idénticos, de todas las edades,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para conocer si el medio ambiente, la educación y la cultura podían introducir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 xml:space="preserve">alguna modificación en el </w:t>
      </w:r>
      <w:proofErr w:type="spellStart"/>
      <w:r w:rsidRPr="008C5F6B">
        <w:rPr>
          <w:rFonts w:cs="MyriadPro-Light"/>
          <w:szCs w:val="18"/>
        </w:rPr>
        <w:t>adn</w:t>
      </w:r>
      <w:proofErr w:type="spellEnd"/>
      <w:r w:rsidRPr="008C5F6B">
        <w:rPr>
          <w:rFonts w:cs="MyriadPro-Light"/>
          <w:szCs w:val="18"/>
        </w:rPr>
        <w:t>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 xml:space="preserve">Encontraron que aunque entre ellos no hay diferencia estructural en el </w:t>
      </w:r>
      <w:proofErr w:type="spellStart"/>
      <w:r w:rsidRPr="008C5F6B">
        <w:rPr>
          <w:rFonts w:cs="MyriadPro-Light"/>
          <w:szCs w:val="18"/>
        </w:rPr>
        <w:t>adn</w:t>
      </w:r>
      <w:proofErr w:type="spellEnd"/>
      <w:r w:rsidRPr="008C5F6B">
        <w:rPr>
          <w:rFonts w:cs="MyriadPro-Light"/>
          <w:szCs w:val="18"/>
        </w:rPr>
        <w:t>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éste puede sufrir modificaciones del tipo llamado “</w:t>
      </w:r>
      <w:proofErr w:type="spellStart"/>
      <w:r w:rsidRPr="008C5F6B">
        <w:rPr>
          <w:rFonts w:cs="MyriadPro-Light"/>
          <w:szCs w:val="18"/>
        </w:rPr>
        <w:t>epigenético</w:t>
      </w:r>
      <w:proofErr w:type="spellEnd"/>
      <w:r w:rsidRPr="008C5F6B">
        <w:rPr>
          <w:rFonts w:cs="MyriadPro-Light"/>
          <w:szCs w:val="18"/>
        </w:rPr>
        <w:t>”. Esto significa que,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aunque los cromosomas contienen los mismos genes con la misma estructura, algunos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genes pueden activarse y otros no, lo que hará que su funcionamiento no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sea el mismo.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Esta activación o desactivación es consecuencia de factores ambientales,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como la exposición al humo del tabaco, ciertos alimentos y diferentes situaciones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emocionales, entre otros más.</w:t>
      </w:r>
    </w:p>
    <w:p w:rsidR="008C5F6B" w:rsidRP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 xml:space="preserve">Entre los gemelos muy pequeños casi no se reconocieron modificaciones </w:t>
      </w:r>
      <w:proofErr w:type="spellStart"/>
      <w:r w:rsidRPr="008C5F6B">
        <w:rPr>
          <w:rFonts w:cs="MyriadPro-Light"/>
          <w:szCs w:val="18"/>
        </w:rPr>
        <w:t>epigenéticas</w:t>
      </w:r>
      <w:proofErr w:type="spellEnd"/>
      <w:r w:rsidRPr="008C5F6B">
        <w:rPr>
          <w:rFonts w:cs="MyriadPro-Light"/>
          <w:szCs w:val="18"/>
        </w:rPr>
        <w:t>.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Éstas se tornan más frecuentes con el transcurso de la edad, pero son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muy notorias sobre todo en aquellos gemelos que han vivido separados en medios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familiares y culturales distintos desde la niñez.</w:t>
      </w:r>
    </w:p>
    <w:p w:rsidR="008C5F6B" w:rsidRDefault="008C5F6B" w:rsidP="008C5F6B">
      <w:pPr>
        <w:autoSpaceDE w:val="0"/>
        <w:autoSpaceDN w:val="0"/>
        <w:adjustRightInd w:val="0"/>
        <w:rPr>
          <w:rFonts w:cs="MyriadPro-Light"/>
          <w:szCs w:val="18"/>
        </w:rPr>
      </w:pPr>
      <w:r w:rsidRPr="008C5F6B">
        <w:rPr>
          <w:rFonts w:cs="MyriadPro-Light"/>
          <w:szCs w:val="18"/>
        </w:rPr>
        <w:t>Los estudios muestran que el destino de nuestras vidas no depende por completo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de nuestros genes, ya que un factor muy importante es el medio ambiente, el</w:t>
      </w:r>
      <w:r>
        <w:rPr>
          <w:rFonts w:cs="MyriadPro-Light"/>
          <w:szCs w:val="18"/>
        </w:rPr>
        <w:t xml:space="preserve"> </w:t>
      </w:r>
      <w:r w:rsidRPr="008C5F6B">
        <w:rPr>
          <w:rFonts w:cs="MyriadPro-Light"/>
          <w:szCs w:val="18"/>
        </w:rPr>
        <w:t>entorno familiar, la educación y la cultura en la que se desarrollan.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ascii="CenturySchoolbookBT-Bold" w:hAnsi="CenturySchoolbookBT-Bold" w:cs="CenturySchoolbookBT-Bold"/>
          <w:b/>
          <w:bCs/>
          <w:sz w:val="22"/>
        </w:rPr>
      </w:pPr>
      <w:r w:rsidRPr="00190C12">
        <w:rPr>
          <w:rFonts w:ascii="CenturySchoolbookBT-Bold" w:hAnsi="CenturySchoolbookBT-Bold" w:cs="CenturySchoolbookBT-Bold"/>
          <w:b/>
          <w:bCs/>
          <w:sz w:val="22"/>
        </w:rPr>
        <w:t>Frijoles y corazón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Los frijoles y el maíz han sido desde hace muchos siglos los alimentos básicos de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los habitantes de México y gran parte de América.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En la década de 1990, cada mexicano consumía un promedio anual de 18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kilogramos de frijol. En la actualidad, esta cifra ha disminuido a la mitad y los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lastRenderedPageBreak/>
        <w:t>habitantes de grandes ciudades consumen 24 por ciento menos frijoles respecto de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quienes viven en áreas rurales.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Esta leguminosa, que por siglos fue un pilar de la alimentación del mexicano,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se ha sustituido por comida rápida o fácil de preparar, como las sopas instantáneas,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alimentos que contienen mucha grasa, sodio y carbohidratos. Otro factor que ha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influido en la disminución es que algunos consideran que los frijoles representan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una costumbre de pobres, y que puede darles mala imagen.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Se llevó a cabo una investigación en la que se entrevistó a dos mil personas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que habían sobrevivido a un ataque cardiaco y se compararon sus hábitos alimenticios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con los de un número igual de individuos sanos de la misma edad, sexo y área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de residencia.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Los individuos que comían frijoles una vez al día tuvieron 38 por ciento menos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probabilidad de sufrir un infarto en comparación con los que sólo los comían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una vez al mes.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 xml:space="preserve">Este alimento contiene folato, magnesio, ácido </w:t>
      </w:r>
      <w:proofErr w:type="spellStart"/>
      <w:r w:rsidRPr="00190C12">
        <w:rPr>
          <w:rFonts w:cs="MyriadPro-Light"/>
          <w:szCs w:val="18"/>
        </w:rPr>
        <w:t>linoleico</w:t>
      </w:r>
      <w:proofErr w:type="spellEnd"/>
      <w:r w:rsidRPr="00190C12">
        <w:rPr>
          <w:rFonts w:cs="MyriadPro-Light"/>
          <w:szCs w:val="18"/>
        </w:rPr>
        <w:t>, vitamina b6 y fibra.</w:t>
      </w:r>
    </w:p>
    <w:p w:rsidR="00190C12" w:rsidRPr="00190C12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Las proteínas que contienen, junto con las del maíz, completan el requerimiento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proteico necesario para un adulto.</w:t>
      </w:r>
    </w:p>
    <w:p w:rsidR="008C5F6B" w:rsidRDefault="00190C12" w:rsidP="00190C12">
      <w:pPr>
        <w:autoSpaceDE w:val="0"/>
        <w:autoSpaceDN w:val="0"/>
        <w:adjustRightInd w:val="0"/>
        <w:rPr>
          <w:rFonts w:cs="MyriadPro-Light"/>
          <w:szCs w:val="18"/>
        </w:rPr>
      </w:pPr>
      <w:r w:rsidRPr="00190C12">
        <w:rPr>
          <w:rFonts w:cs="MyriadPro-Light"/>
          <w:szCs w:val="18"/>
        </w:rPr>
        <w:t>La calidad de la dieta mejoraría si se incluyeran de nueva cuenta los frijoles</w:t>
      </w:r>
      <w:r>
        <w:rPr>
          <w:rFonts w:cs="MyriadPro-Light"/>
          <w:szCs w:val="18"/>
        </w:rPr>
        <w:t xml:space="preserve"> </w:t>
      </w:r>
      <w:r w:rsidRPr="00190C12">
        <w:rPr>
          <w:rFonts w:cs="MyriadPro-Light"/>
          <w:szCs w:val="18"/>
        </w:rPr>
        <w:t>en ella, además de que brindaría protección contra un ataque cardiaco.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ascii="CenturySchoolbookBT-Bold" w:hAnsi="CenturySchoolbookBT-Bold" w:cs="CenturySchoolbookBT-Bold"/>
          <w:b/>
          <w:bCs/>
          <w:sz w:val="22"/>
        </w:rPr>
      </w:pPr>
      <w:r w:rsidRPr="00A11947">
        <w:rPr>
          <w:rFonts w:ascii="CenturySchoolbookBT-Bold" w:hAnsi="CenturySchoolbookBT-Bold" w:cs="CenturySchoolbookBT-Bold"/>
          <w:b/>
          <w:bCs/>
          <w:sz w:val="22"/>
        </w:rPr>
        <w:t>Síndrome de fatiga crónica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Una sensación de debilidad y agotamiento, fatiga extrema, dolor muscular después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de esforzarse físicamente y un insomnio persistente son síntomas que aquejan a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menudo a personas adultas, sobre todo mujeres. Como se trata de “achaques”,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muchas veces no muy bien definidos, no habían recibido la atención necesaria.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Los estudios recientes se refieren a este conjunto de síntomas como “síndrome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de fatiga crónica”. Con el fin de investigar la diferencia entre éste y el cansancio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de otra naturaleza, un equipo de investigadores llevó a cabo un estudio con 7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mil personas adultas que decían sentirse fatigadas. Se las sometió a una revisión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médica exhaustiva y exámenes de laboratorio para descartar los casos cuyos síntomas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se debían a otras causas, como afecciones virales o depresión.</w:t>
      </w:r>
    </w:p>
    <w:p w:rsid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En los individuos diagnosticados con fatiga crónica se encontró un patrón de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actividad anormal en 24 genes, por lo regular vinculados con funciones inmunológicas,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comunicación intercelular y deficiencias en otros procesos fisiológicos, como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el sistema “hipotálamo-pituitaria-suprarrenales”, que controla la relación entre el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estado de ánimo y el sistema inmunitario. En la actualidad, la fatiga crónica sólo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puede controlarse con medicamentos que disipan los síntomas.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Refrescos y obesidad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En 1975, un 15 por ciento de la población estadounidense correspondía a individuos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obesos. Esta cifra se duplicó en el año 2002 y sigue en aumento. El incremento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es preocupante, sobre todo por la propensión de este grupo a ciertos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padecimientos cardiacos, diabetes y otro tipo de afecciones. La causa de esto se ha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atribuido en general a la comida chatarra, que cada vez se consume más; empero,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un estudio reciente encuentra que los refrescos embotellados o enlatados son, en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la mayor parte de los casos, los principales factores.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Se ha encontrado que los adultos de 20 a 49 años beben un promedio dos y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medio vasos de refresco todos los días.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Hace diez años, entre el cinco y siete por ciento de la energía aportada por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la dieta provenía del pan y sólo un cinco por ciento de las bebidas azucaradas. Un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estudio reciente muestra que hoy en día los refrescos suministran el 14 por ciento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de la energía.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La cifra es más alarmante cuando se habla de niños y adolescentes, dado que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consumen cada día un promedio de dos latas del líquido gaseoso y la cuarta parte</w:t>
      </w:r>
      <w:r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de ellos bebe hasta cuatro latas.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En la actualidad, los refrescos han desplazado a la leche en la dieta de estos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niños, quienes carecen de los nutrientes básicos, como calcio, hierro, ácido fólico y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zinc. Desde 1970, el consumo de leche por persona ha disminuido 23 por ciento.</w:t>
      </w:r>
    </w:p>
    <w:p w:rsidR="00A11947" w:rsidRP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El hábito de beber refrescos se ha visto reforzado en niños y adolescentes por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los convenios que algunas compañías refresqueras han establecido con escuelas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para la venta y promoción de sus productos. El problema es similar en nuestro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país, que en la actualidad es el máximo consumidor en el mundo de refrescos de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cola.</w:t>
      </w:r>
    </w:p>
    <w:p w:rsidR="00A11947" w:rsidRDefault="00A11947" w:rsidP="00A11947">
      <w:pPr>
        <w:autoSpaceDE w:val="0"/>
        <w:autoSpaceDN w:val="0"/>
        <w:adjustRightInd w:val="0"/>
        <w:rPr>
          <w:rFonts w:cs="MyriadPro-Light"/>
          <w:szCs w:val="18"/>
        </w:rPr>
      </w:pPr>
      <w:r w:rsidRPr="00A11947">
        <w:rPr>
          <w:rFonts w:cs="MyriadPro-Light"/>
          <w:szCs w:val="18"/>
        </w:rPr>
        <w:t>Por esa razón es urgente revisar y hacer conciencia de lo que ingieren los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niños y jóvenes, sobre todo por las consecuencias que representan para su salud</w:t>
      </w:r>
      <w:r w:rsidR="004F3646">
        <w:rPr>
          <w:rFonts w:cs="MyriadPro-Light"/>
          <w:szCs w:val="18"/>
        </w:rPr>
        <w:t xml:space="preserve"> </w:t>
      </w:r>
      <w:r w:rsidRPr="00A11947">
        <w:rPr>
          <w:rFonts w:cs="MyriadPro-Light"/>
          <w:szCs w:val="18"/>
        </w:rPr>
        <w:t>en los plazos corto y largo</w:t>
      </w:r>
    </w:p>
    <w:sectPr w:rsidR="00A11947" w:rsidSect="00A11947">
      <w:type w:val="continuous"/>
      <w:pgSz w:w="12240" w:h="15840" w:code="1"/>
      <w:pgMar w:top="567" w:right="567" w:bottom="567" w:left="567" w:header="709" w:footer="709" w:gutter="0"/>
      <w:cols w:num="2" w:space="2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Schoolbook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67A"/>
    <w:multiLevelType w:val="multilevel"/>
    <w:tmpl w:val="7AD847C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C56D47"/>
    <w:multiLevelType w:val="hybridMultilevel"/>
    <w:tmpl w:val="AFC22AC4"/>
    <w:lvl w:ilvl="0" w:tplc="BD46D9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2E11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646FF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68940C7"/>
    <w:multiLevelType w:val="hybridMultilevel"/>
    <w:tmpl w:val="8E56F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2628E"/>
    <w:multiLevelType w:val="multilevel"/>
    <w:tmpl w:val="178259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1A513DC3"/>
    <w:multiLevelType w:val="multilevel"/>
    <w:tmpl w:val="8FF640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277B4142"/>
    <w:multiLevelType w:val="multilevel"/>
    <w:tmpl w:val="B220219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9294C4B"/>
    <w:multiLevelType w:val="hybridMultilevel"/>
    <w:tmpl w:val="48BCC3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D17B5"/>
    <w:multiLevelType w:val="hybridMultilevel"/>
    <w:tmpl w:val="649A026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242A4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352A5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DF642A4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E3154"/>
    <w:multiLevelType w:val="hybridMultilevel"/>
    <w:tmpl w:val="54640DC2"/>
    <w:lvl w:ilvl="0" w:tplc="A67A29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4416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9A1316A"/>
    <w:multiLevelType w:val="multilevel"/>
    <w:tmpl w:val="34BA4B3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5B9E0861"/>
    <w:multiLevelType w:val="multilevel"/>
    <w:tmpl w:val="5560DA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6E5514FC"/>
    <w:multiLevelType w:val="hybridMultilevel"/>
    <w:tmpl w:val="83BC6A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13"/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16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0"/>
  </w:num>
  <w:num w:numId="13">
    <w:abstractNumId w:val="9"/>
  </w:num>
  <w:num w:numId="14">
    <w:abstractNumId w:val="0"/>
  </w:num>
  <w:num w:numId="15">
    <w:abstractNumId w:val="0"/>
  </w:num>
  <w:num w:numId="16">
    <w:abstractNumId w:val="14"/>
  </w:num>
  <w:num w:numId="17">
    <w:abstractNumId w:val="2"/>
  </w:num>
  <w:num w:numId="18">
    <w:abstractNumId w:val="10"/>
  </w:num>
  <w:num w:numId="19">
    <w:abstractNumId w:val="0"/>
  </w:num>
  <w:num w:numId="20">
    <w:abstractNumId w:val="0"/>
  </w:num>
  <w:num w:numId="21">
    <w:abstractNumId w:val="12"/>
  </w:num>
  <w:num w:numId="22">
    <w:abstractNumId w:val="0"/>
  </w:num>
  <w:num w:numId="23">
    <w:abstractNumId w:val="8"/>
  </w:num>
  <w:num w:numId="24">
    <w:abstractNumId w:val="11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61"/>
    <w:rsid w:val="000217B2"/>
    <w:rsid w:val="000A72C9"/>
    <w:rsid w:val="000D0921"/>
    <w:rsid w:val="000D48CC"/>
    <w:rsid w:val="001124B9"/>
    <w:rsid w:val="001374C5"/>
    <w:rsid w:val="00190C12"/>
    <w:rsid w:val="001E2A5D"/>
    <w:rsid w:val="00232EE9"/>
    <w:rsid w:val="00235DE8"/>
    <w:rsid w:val="00247863"/>
    <w:rsid w:val="002548C8"/>
    <w:rsid w:val="002626AA"/>
    <w:rsid w:val="002A441A"/>
    <w:rsid w:val="002D29A6"/>
    <w:rsid w:val="002D55D2"/>
    <w:rsid w:val="003219ED"/>
    <w:rsid w:val="00327D6F"/>
    <w:rsid w:val="0035283B"/>
    <w:rsid w:val="00355482"/>
    <w:rsid w:val="00356B6D"/>
    <w:rsid w:val="00365F6E"/>
    <w:rsid w:val="00374B8B"/>
    <w:rsid w:val="003965FC"/>
    <w:rsid w:val="003A039A"/>
    <w:rsid w:val="003A6D90"/>
    <w:rsid w:val="003C34A5"/>
    <w:rsid w:val="003D4547"/>
    <w:rsid w:val="003E4B79"/>
    <w:rsid w:val="003F4118"/>
    <w:rsid w:val="004057F3"/>
    <w:rsid w:val="00406B82"/>
    <w:rsid w:val="00407446"/>
    <w:rsid w:val="00412E85"/>
    <w:rsid w:val="0042110A"/>
    <w:rsid w:val="0043124C"/>
    <w:rsid w:val="00462DB0"/>
    <w:rsid w:val="00494354"/>
    <w:rsid w:val="00496565"/>
    <w:rsid w:val="004B6851"/>
    <w:rsid w:val="004D2F0E"/>
    <w:rsid w:val="004D746F"/>
    <w:rsid w:val="004F3646"/>
    <w:rsid w:val="00502E8A"/>
    <w:rsid w:val="00513026"/>
    <w:rsid w:val="005465CE"/>
    <w:rsid w:val="00560C89"/>
    <w:rsid w:val="005A01B9"/>
    <w:rsid w:val="005A23A9"/>
    <w:rsid w:val="005A495D"/>
    <w:rsid w:val="005B05C4"/>
    <w:rsid w:val="005E53D7"/>
    <w:rsid w:val="005F75F7"/>
    <w:rsid w:val="00613250"/>
    <w:rsid w:val="0062138F"/>
    <w:rsid w:val="006222B7"/>
    <w:rsid w:val="00637681"/>
    <w:rsid w:val="00644C60"/>
    <w:rsid w:val="00654500"/>
    <w:rsid w:val="006556FC"/>
    <w:rsid w:val="006A111B"/>
    <w:rsid w:val="006B19F5"/>
    <w:rsid w:val="006F4845"/>
    <w:rsid w:val="007024B5"/>
    <w:rsid w:val="0073265F"/>
    <w:rsid w:val="00840F68"/>
    <w:rsid w:val="00871174"/>
    <w:rsid w:val="00871FEC"/>
    <w:rsid w:val="008C5F6B"/>
    <w:rsid w:val="008D0E1F"/>
    <w:rsid w:val="00914EF6"/>
    <w:rsid w:val="0096229B"/>
    <w:rsid w:val="009D2778"/>
    <w:rsid w:val="009D7961"/>
    <w:rsid w:val="009F147C"/>
    <w:rsid w:val="00A102DD"/>
    <w:rsid w:val="00A11947"/>
    <w:rsid w:val="00A1483C"/>
    <w:rsid w:val="00A230A9"/>
    <w:rsid w:val="00A66D7B"/>
    <w:rsid w:val="00AD7AD6"/>
    <w:rsid w:val="00AF0042"/>
    <w:rsid w:val="00B15857"/>
    <w:rsid w:val="00B3567E"/>
    <w:rsid w:val="00B514F7"/>
    <w:rsid w:val="00B5247E"/>
    <w:rsid w:val="00B953DB"/>
    <w:rsid w:val="00BB4C37"/>
    <w:rsid w:val="00BC4943"/>
    <w:rsid w:val="00C17D1C"/>
    <w:rsid w:val="00C47351"/>
    <w:rsid w:val="00C560D8"/>
    <w:rsid w:val="00C63CA3"/>
    <w:rsid w:val="00CE548A"/>
    <w:rsid w:val="00D26803"/>
    <w:rsid w:val="00D47B32"/>
    <w:rsid w:val="00D661F8"/>
    <w:rsid w:val="00D84A91"/>
    <w:rsid w:val="00DD0FCC"/>
    <w:rsid w:val="00DE6F7D"/>
    <w:rsid w:val="00DE71EF"/>
    <w:rsid w:val="00E00EFD"/>
    <w:rsid w:val="00E25C0A"/>
    <w:rsid w:val="00E27F74"/>
    <w:rsid w:val="00E96355"/>
    <w:rsid w:val="00ED1A4F"/>
    <w:rsid w:val="00F2404B"/>
    <w:rsid w:val="00F546D9"/>
    <w:rsid w:val="00F60D94"/>
    <w:rsid w:val="00F64CC3"/>
    <w:rsid w:val="00F74562"/>
    <w:rsid w:val="00F8447C"/>
    <w:rsid w:val="00F857F6"/>
    <w:rsid w:val="00FB1930"/>
    <w:rsid w:val="00FB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DD"/>
    <w:pPr>
      <w:spacing w:after="0" w:line="240" w:lineRule="auto"/>
    </w:pPr>
    <w:rPr>
      <w:rFonts w:ascii="Arial Narrow" w:hAnsi="Arial Narrow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A102DD"/>
    <w:pPr>
      <w:keepNext/>
      <w:keepLines/>
      <w:numPr>
        <w:numId w:val="12"/>
      </w:numPr>
      <w:spacing w:before="120" w:after="6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CC"/>
    <w:pPr>
      <w:keepNext/>
      <w:keepLines/>
      <w:numPr>
        <w:ilvl w:val="1"/>
        <w:numId w:val="12"/>
      </w:numPr>
      <w:spacing w:after="12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24B9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24B9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24B9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24B9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24B9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24B9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24B9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32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102DD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24B9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0D48CC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24B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24B9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24B9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2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F14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DD"/>
    <w:pPr>
      <w:spacing w:after="0" w:line="240" w:lineRule="auto"/>
    </w:pPr>
    <w:rPr>
      <w:rFonts w:ascii="Arial Narrow" w:hAnsi="Arial Narrow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A102DD"/>
    <w:pPr>
      <w:keepNext/>
      <w:keepLines/>
      <w:numPr>
        <w:numId w:val="12"/>
      </w:numPr>
      <w:spacing w:before="120" w:after="6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CC"/>
    <w:pPr>
      <w:keepNext/>
      <w:keepLines/>
      <w:numPr>
        <w:ilvl w:val="1"/>
        <w:numId w:val="12"/>
      </w:numPr>
      <w:spacing w:after="12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24B9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24B9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24B9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24B9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24B9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24B9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24B9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32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102DD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24B9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0D48CC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24B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24B9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24B9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2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F14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9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31875-ECC7-4A30-83FD-F1A7F00C2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1949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 Técnico</dc:creator>
  <cp:lastModifiedBy>Director Técnico</cp:lastModifiedBy>
  <cp:revision>6</cp:revision>
  <cp:lastPrinted>2018-04-11T10:19:00Z</cp:lastPrinted>
  <dcterms:created xsi:type="dcterms:W3CDTF">2018-04-14T00:34:00Z</dcterms:created>
  <dcterms:modified xsi:type="dcterms:W3CDTF">2018-04-14T03:05:00Z</dcterms:modified>
</cp:coreProperties>
</file>